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15" w:afterAutospacing="0" w:line="336" w:lineRule="atLeast"/>
        <w:ind w:left="0" w:right="0" w:firstLine="551"/>
        <w:jc w:val="left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1、招聘岗位</w:t>
      </w:r>
    </w:p>
    <w:tbl>
      <w:tblPr>
        <w:tblStyle w:val="2"/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396"/>
        <w:gridCol w:w="682"/>
        <w:gridCol w:w="1553"/>
        <w:gridCol w:w="2094"/>
        <w:gridCol w:w="1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科室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招聘类型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资历要求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眼科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眼科医师或眼视光师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眼科学、眼视光学专业（眼视光学专业优先）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生殖医学科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胚胎实验室专业技术骨干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医学、生物学相关专业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岭南医学研究中心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（超高分辨率显微镜和激光共聚焦显微镜仪器操作）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医学（中医学）、药学（中药学）、生物学、生物工程学相关专业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财务处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会计学、财务管理、统计学、卫生经济学相关专业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设备管理处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助理工程师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生物医学工程相关专业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医院感染管理科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院感工作人员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公共卫生与预防医学相关专业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网络数据信息科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（统计室）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统计员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卫生统计学相关专业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网络数据信息科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（病案室）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编码员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医学信息、临床医学相关专业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研究生学历，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硕士学位及以上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耳鼻喉科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重点专科秘书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社会工作人员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中医学、中西医结合临床、针灸推拿学、临床医学相关专业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315" w:afterAutospacing="0" w:line="336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81BF1"/>
    <w:rsid w:val="07CD5485"/>
    <w:rsid w:val="44F8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2019-11-27T03:43:00Z</dcterms:created>
  <dc:creator>秋叶夏花</dc:creator>
  <cp:lastModifiedBy>橘生淮南</cp:lastModifiedBy>
  <dcterms:modified xsi:type="dcterms:W3CDTF">2019-11-28T14:31:34Z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